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4129" w:rsidRDefault="00C11BAB" w:rsidP="00B7412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-1168400</wp:posOffset>
                </wp:positionV>
                <wp:extent cx="1257300" cy="29210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66E" w:rsidRPr="00C4265A" w:rsidRDefault="000F466E" w:rsidP="00C42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92pt;width:99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xz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89niVQomCra8zDN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" stroked="f">
                <v:textbox>
                  <w:txbxContent>
                    <w:p w:rsidR="000F466E" w:rsidRPr="00C4265A" w:rsidRDefault="000F466E" w:rsidP="00C4265A"/>
                  </w:txbxContent>
                </v:textbox>
              </v:shape>
            </w:pict>
          </mc:Fallback>
        </mc:AlternateContent>
      </w:r>
      <w:r w:rsidR="000F466E">
        <w:rPr>
          <w:rFonts w:ascii="Arial" w:hAnsi="Arial" w:cs="Arial"/>
          <w:sz w:val="22"/>
          <w:szCs w:val="22"/>
        </w:rPr>
        <w:t xml:space="preserve">In </w:t>
      </w:r>
      <w:r w:rsidR="00B74129" w:rsidRPr="00B74129">
        <w:rPr>
          <w:rFonts w:ascii="Arial" w:hAnsi="Arial" w:cs="Arial"/>
          <w:sz w:val="22"/>
          <w:szCs w:val="22"/>
        </w:rPr>
        <w:t>July 2008</w:t>
      </w:r>
      <w:r w:rsidR="002A726D">
        <w:rPr>
          <w:rFonts w:ascii="Arial" w:hAnsi="Arial" w:cs="Arial"/>
          <w:sz w:val="22"/>
          <w:szCs w:val="22"/>
        </w:rPr>
        <w:t>,</w:t>
      </w:r>
      <w:r w:rsidR="00B74129" w:rsidRPr="00B74129">
        <w:rPr>
          <w:rFonts w:ascii="Arial" w:hAnsi="Arial" w:cs="Arial"/>
          <w:sz w:val="22"/>
          <w:szCs w:val="22"/>
        </w:rPr>
        <w:t xml:space="preserve"> a review of the civil and criminal justice system in </w:t>
      </w:r>
      <w:smartTag w:uri="urn:schemas-microsoft-com:office:smarttags" w:element="place">
        <w:smartTag w:uri="urn:schemas-microsoft-com:office:smarttags" w:element="State">
          <w:r w:rsidR="00B74129" w:rsidRPr="00B7412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794778">
        <w:rPr>
          <w:rFonts w:ascii="Arial" w:hAnsi="Arial" w:cs="Arial"/>
          <w:sz w:val="22"/>
          <w:szCs w:val="22"/>
        </w:rPr>
        <w:t xml:space="preserve"> was launched by the Queensland Government</w:t>
      </w:r>
      <w:r w:rsidR="00B74129" w:rsidRPr="00B74129">
        <w:rPr>
          <w:rFonts w:ascii="Arial" w:hAnsi="Arial" w:cs="Arial"/>
          <w:sz w:val="22"/>
          <w:szCs w:val="22"/>
        </w:rPr>
        <w:t xml:space="preserve">.  Former Senior Judge Administrator, the Honourable Martin Moynihan AO QC, was appointed to conduct the review and report on the working of </w:t>
      </w:r>
      <w:smartTag w:uri="urn:schemas-microsoft-com:office:smarttags" w:element="place">
        <w:smartTag w:uri="urn:schemas-microsoft-com:office:smarttags" w:element="State">
          <w:r w:rsidR="00B74129" w:rsidRPr="00B7412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B74129" w:rsidRPr="00B74129">
        <w:rPr>
          <w:rFonts w:ascii="Arial" w:hAnsi="Arial" w:cs="Arial"/>
          <w:sz w:val="22"/>
          <w:szCs w:val="22"/>
        </w:rPr>
        <w:t xml:space="preserve"> courts in the civil and criminal jurisdictions with a view to making more effective use of public resources. </w:t>
      </w:r>
    </w:p>
    <w:p w:rsidR="00B45D8B" w:rsidRPr="002724FB" w:rsidRDefault="00B45D8B" w:rsidP="00B45D8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724FB">
        <w:rPr>
          <w:rFonts w:ascii="Arial" w:hAnsi="Arial" w:cs="Arial"/>
          <w:sz w:val="22"/>
          <w:szCs w:val="22"/>
        </w:rPr>
        <w:t>The report</w:t>
      </w:r>
      <w:r w:rsidR="000E471C">
        <w:rPr>
          <w:rFonts w:ascii="Arial" w:hAnsi="Arial" w:cs="Arial"/>
          <w:sz w:val="22"/>
          <w:szCs w:val="22"/>
        </w:rPr>
        <w:t xml:space="preserve"> on the review (entitled </w:t>
      </w:r>
      <w:r w:rsidR="000E471C" w:rsidRPr="000E471C">
        <w:rPr>
          <w:rFonts w:ascii="Arial" w:hAnsi="Arial" w:cs="Arial"/>
          <w:i/>
          <w:sz w:val="22"/>
          <w:szCs w:val="22"/>
        </w:rPr>
        <w:t>Review of the civil and criminal justice system</w:t>
      </w:r>
      <w:r w:rsidR="003B0820">
        <w:rPr>
          <w:rFonts w:ascii="Arial" w:hAnsi="Arial" w:cs="Arial"/>
          <w:i/>
          <w:sz w:val="22"/>
          <w:szCs w:val="22"/>
        </w:rPr>
        <w:t xml:space="preserve"> in </w:t>
      </w:r>
      <w:smartTag w:uri="urn:schemas-microsoft-com:office:smarttags" w:element="State">
        <w:smartTag w:uri="urn:schemas-microsoft-com:office:smarttags" w:element="place">
          <w:r w:rsidR="003B0820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="000E471C">
        <w:rPr>
          <w:rFonts w:ascii="Arial" w:hAnsi="Arial" w:cs="Arial"/>
          <w:sz w:val="22"/>
          <w:szCs w:val="22"/>
        </w:rPr>
        <w:t xml:space="preserve">) </w:t>
      </w:r>
      <w:r w:rsidRPr="002724FB">
        <w:rPr>
          <w:rFonts w:ascii="Arial" w:hAnsi="Arial" w:cs="Arial"/>
          <w:sz w:val="22"/>
          <w:szCs w:val="22"/>
        </w:rPr>
        <w:t xml:space="preserve">and </w:t>
      </w:r>
      <w:r w:rsidR="000E471C">
        <w:rPr>
          <w:rFonts w:ascii="Arial" w:hAnsi="Arial" w:cs="Arial"/>
          <w:sz w:val="22"/>
          <w:szCs w:val="22"/>
        </w:rPr>
        <w:t xml:space="preserve">Queensland </w:t>
      </w:r>
      <w:r w:rsidRPr="002724FB">
        <w:rPr>
          <w:rFonts w:ascii="Arial" w:hAnsi="Arial" w:cs="Arial"/>
          <w:sz w:val="22"/>
          <w:szCs w:val="22"/>
        </w:rPr>
        <w:t xml:space="preserve">Government Response were </w:t>
      </w:r>
      <w:r w:rsidR="003B0820">
        <w:rPr>
          <w:rFonts w:ascii="Arial" w:hAnsi="Arial" w:cs="Arial"/>
          <w:sz w:val="22"/>
          <w:szCs w:val="22"/>
        </w:rPr>
        <w:t xml:space="preserve">publicly </w:t>
      </w:r>
      <w:r w:rsidRPr="002724FB">
        <w:rPr>
          <w:rFonts w:ascii="Arial" w:hAnsi="Arial" w:cs="Arial"/>
          <w:sz w:val="22"/>
          <w:szCs w:val="22"/>
        </w:rPr>
        <w:t xml:space="preserve">released on 21 July 2009. Consistent with the staged, incremental and prioritised approach to implementation recommended in the </w:t>
      </w:r>
      <w:r w:rsidR="000E471C">
        <w:rPr>
          <w:rFonts w:ascii="Arial" w:hAnsi="Arial" w:cs="Arial"/>
          <w:sz w:val="22"/>
          <w:szCs w:val="22"/>
        </w:rPr>
        <w:t>r</w:t>
      </w:r>
      <w:r w:rsidRPr="002724FB">
        <w:rPr>
          <w:rFonts w:ascii="Arial" w:hAnsi="Arial" w:cs="Arial"/>
          <w:sz w:val="22"/>
          <w:szCs w:val="22"/>
        </w:rPr>
        <w:t xml:space="preserve">eport, the </w:t>
      </w:r>
      <w:r w:rsidR="000E471C">
        <w:rPr>
          <w:rFonts w:ascii="Arial" w:hAnsi="Arial" w:cs="Arial"/>
          <w:sz w:val="22"/>
          <w:szCs w:val="22"/>
        </w:rPr>
        <w:t xml:space="preserve">Queensland Government </w:t>
      </w:r>
      <w:r w:rsidRPr="002724FB">
        <w:rPr>
          <w:rFonts w:ascii="Arial" w:hAnsi="Arial" w:cs="Arial"/>
          <w:sz w:val="22"/>
          <w:szCs w:val="22"/>
        </w:rPr>
        <w:t xml:space="preserve">Response indicates that legislative reforms will be introduced </w:t>
      </w:r>
      <w:r w:rsidR="000F466E">
        <w:rPr>
          <w:rFonts w:ascii="Arial" w:hAnsi="Arial" w:cs="Arial"/>
          <w:sz w:val="22"/>
          <w:szCs w:val="22"/>
        </w:rPr>
        <w:t xml:space="preserve">initially </w:t>
      </w:r>
      <w:r w:rsidR="000E471C">
        <w:rPr>
          <w:rFonts w:ascii="Arial" w:hAnsi="Arial" w:cs="Arial"/>
          <w:sz w:val="22"/>
          <w:szCs w:val="22"/>
        </w:rPr>
        <w:t xml:space="preserve">in response to </w:t>
      </w:r>
      <w:r w:rsidRPr="002724FB">
        <w:rPr>
          <w:rFonts w:ascii="Arial" w:hAnsi="Arial" w:cs="Arial"/>
          <w:sz w:val="22"/>
          <w:szCs w:val="22"/>
        </w:rPr>
        <w:t>the</w:t>
      </w:r>
      <w:r w:rsidR="000E471C">
        <w:rPr>
          <w:rFonts w:ascii="Arial" w:hAnsi="Arial" w:cs="Arial"/>
          <w:sz w:val="22"/>
          <w:szCs w:val="22"/>
        </w:rPr>
        <w:t xml:space="preserve"> </w:t>
      </w:r>
      <w:r w:rsidRPr="002724FB">
        <w:rPr>
          <w:rFonts w:ascii="Arial" w:hAnsi="Arial" w:cs="Arial"/>
          <w:sz w:val="22"/>
          <w:szCs w:val="22"/>
        </w:rPr>
        <w:t xml:space="preserve">Report in two stages. </w:t>
      </w:r>
    </w:p>
    <w:p w:rsidR="00B45D8B" w:rsidRPr="002724FB" w:rsidRDefault="00B45D8B" w:rsidP="002724F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724FB">
        <w:rPr>
          <w:rFonts w:ascii="Arial" w:hAnsi="Arial" w:cs="Arial"/>
          <w:sz w:val="22"/>
          <w:szCs w:val="22"/>
        </w:rPr>
        <w:t>The object of the Civil and Criminal Jurisdiction</w:t>
      </w:r>
      <w:r w:rsidR="00082075">
        <w:rPr>
          <w:rFonts w:ascii="Arial" w:hAnsi="Arial" w:cs="Arial"/>
          <w:sz w:val="22"/>
          <w:szCs w:val="22"/>
        </w:rPr>
        <w:t xml:space="preserve"> Reform and Modernisation </w:t>
      </w:r>
      <w:r w:rsidRPr="002724FB">
        <w:rPr>
          <w:rFonts w:ascii="Arial" w:hAnsi="Arial" w:cs="Arial"/>
          <w:sz w:val="22"/>
          <w:szCs w:val="22"/>
        </w:rPr>
        <w:t>Amendment Bill 2009</w:t>
      </w:r>
      <w:r w:rsidR="002724FB" w:rsidRPr="002724FB">
        <w:rPr>
          <w:rFonts w:ascii="Arial" w:hAnsi="Arial" w:cs="Arial"/>
          <w:sz w:val="22"/>
          <w:szCs w:val="22"/>
        </w:rPr>
        <w:t xml:space="preserve"> (the Bill</w:t>
      </w:r>
      <w:r w:rsidR="00662C92" w:rsidRPr="002724FB">
        <w:rPr>
          <w:rFonts w:ascii="Arial" w:hAnsi="Arial" w:cs="Arial"/>
          <w:sz w:val="22"/>
          <w:szCs w:val="22"/>
        </w:rPr>
        <w:t>) is</w:t>
      </w:r>
      <w:r w:rsidRPr="002724FB">
        <w:rPr>
          <w:rFonts w:ascii="Arial" w:hAnsi="Arial" w:cs="Arial"/>
          <w:sz w:val="22"/>
          <w:szCs w:val="22"/>
        </w:rPr>
        <w:t xml:space="preserve"> to implement the first stage of the reform</w:t>
      </w:r>
      <w:r w:rsidR="00CC4056">
        <w:rPr>
          <w:rFonts w:ascii="Arial" w:hAnsi="Arial" w:cs="Arial"/>
          <w:sz w:val="22"/>
          <w:szCs w:val="22"/>
        </w:rPr>
        <w:t>s</w:t>
      </w:r>
      <w:r w:rsidR="00662C92">
        <w:rPr>
          <w:rFonts w:ascii="Arial" w:hAnsi="Arial" w:cs="Arial"/>
          <w:sz w:val="22"/>
          <w:szCs w:val="22"/>
        </w:rPr>
        <w:t xml:space="preserve">, </w:t>
      </w:r>
      <w:r w:rsidR="00CC4056">
        <w:rPr>
          <w:rFonts w:ascii="Arial" w:hAnsi="Arial" w:cs="Arial"/>
          <w:sz w:val="22"/>
          <w:szCs w:val="22"/>
        </w:rPr>
        <w:t xml:space="preserve">including </w:t>
      </w:r>
      <w:r w:rsidR="000E471C">
        <w:rPr>
          <w:rFonts w:ascii="Arial" w:hAnsi="Arial" w:cs="Arial"/>
          <w:sz w:val="22"/>
          <w:szCs w:val="22"/>
        </w:rPr>
        <w:t xml:space="preserve">amendments </w:t>
      </w:r>
      <w:r w:rsidR="00662C92">
        <w:rPr>
          <w:rFonts w:ascii="Arial" w:hAnsi="Arial" w:cs="Arial"/>
          <w:sz w:val="22"/>
          <w:szCs w:val="22"/>
        </w:rPr>
        <w:t>to:</w:t>
      </w:r>
    </w:p>
    <w:p w:rsidR="00B45D8B" w:rsidRPr="002724FB" w:rsidRDefault="003B0820" w:rsidP="004E2E49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expand </w:t>
      </w:r>
      <w:r w:rsidR="00B45D8B" w:rsidRPr="002724FB">
        <w:rPr>
          <w:rFonts w:ascii="Arial" w:hAnsi="Arial" w:cs="Arial"/>
          <w:sz w:val="22"/>
          <w:szCs w:val="22"/>
        </w:rPr>
        <w:t>the summary jurisdiction of the Magistrates Court</w:t>
      </w:r>
      <w:r w:rsidR="00082075">
        <w:rPr>
          <w:rFonts w:ascii="Arial" w:hAnsi="Arial" w:cs="Arial"/>
          <w:sz w:val="22"/>
          <w:szCs w:val="22"/>
        </w:rPr>
        <w:t>s</w:t>
      </w:r>
      <w:r w:rsidR="00B45D8B" w:rsidRPr="002724FB">
        <w:rPr>
          <w:rFonts w:ascii="Arial" w:hAnsi="Arial" w:cs="Arial"/>
          <w:sz w:val="22"/>
          <w:szCs w:val="22"/>
        </w:rPr>
        <w:t xml:space="preserve"> for indictable offences;</w:t>
      </w:r>
    </w:p>
    <w:p w:rsidR="00B45D8B" w:rsidRPr="002724FB" w:rsidRDefault="00B45D8B" w:rsidP="004E2E49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724FB">
        <w:rPr>
          <w:rFonts w:ascii="Arial" w:hAnsi="Arial" w:cs="Arial"/>
          <w:sz w:val="22"/>
          <w:szCs w:val="22"/>
        </w:rPr>
        <w:t xml:space="preserve">increase the criminal jurisdiction of the District Court from offences with a maximum penalty of 14 years and less to a maximum of 20 years </w:t>
      </w:r>
      <w:r w:rsidR="00CC4056">
        <w:rPr>
          <w:rFonts w:ascii="Arial" w:hAnsi="Arial" w:cs="Arial"/>
          <w:sz w:val="22"/>
          <w:szCs w:val="22"/>
        </w:rPr>
        <w:t xml:space="preserve">and </w:t>
      </w:r>
      <w:r w:rsidRPr="002724FB">
        <w:rPr>
          <w:rFonts w:ascii="Arial" w:hAnsi="Arial" w:cs="Arial"/>
          <w:sz w:val="22"/>
          <w:szCs w:val="22"/>
        </w:rPr>
        <w:t>less;</w:t>
      </w:r>
    </w:p>
    <w:p w:rsidR="00B45D8B" w:rsidRPr="002724FB" w:rsidRDefault="00B45D8B" w:rsidP="004E2E49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724FB">
        <w:rPr>
          <w:rFonts w:ascii="Arial" w:hAnsi="Arial" w:cs="Arial"/>
          <w:sz w:val="22"/>
          <w:szCs w:val="22"/>
        </w:rPr>
        <w:t xml:space="preserve">improve </w:t>
      </w:r>
      <w:r w:rsidR="00082075">
        <w:rPr>
          <w:rFonts w:ascii="Arial" w:hAnsi="Arial" w:cs="Arial"/>
          <w:sz w:val="22"/>
          <w:szCs w:val="22"/>
        </w:rPr>
        <w:t>disclosure in criminal cases</w:t>
      </w:r>
      <w:r w:rsidRPr="002724FB">
        <w:rPr>
          <w:rFonts w:ascii="Arial" w:hAnsi="Arial" w:cs="Arial"/>
          <w:sz w:val="22"/>
          <w:szCs w:val="22"/>
        </w:rPr>
        <w:t xml:space="preserve">; </w:t>
      </w:r>
      <w:r w:rsidR="000F466E">
        <w:rPr>
          <w:rFonts w:ascii="Arial" w:hAnsi="Arial" w:cs="Arial"/>
          <w:sz w:val="22"/>
          <w:szCs w:val="22"/>
        </w:rPr>
        <w:t>and</w:t>
      </w:r>
      <w:r w:rsidRPr="002724FB">
        <w:rPr>
          <w:rFonts w:ascii="Arial" w:hAnsi="Arial" w:cs="Arial"/>
          <w:sz w:val="22"/>
          <w:szCs w:val="22"/>
        </w:rPr>
        <w:t xml:space="preserve"> </w:t>
      </w:r>
    </w:p>
    <w:p w:rsidR="00B45D8B" w:rsidRPr="002724FB" w:rsidRDefault="00B45D8B" w:rsidP="004E2E49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724FB">
        <w:rPr>
          <w:rFonts w:ascii="Arial" w:hAnsi="Arial" w:cs="Arial"/>
          <w:sz w:val="22"/>
          <w:szCs w:val="22"/>
        </w:rPr>
        <w:t xml:space="preserve">increase </w:t>
      </w:r>
      <w:r w:rsidR="00BD278A">
        <w:rPr>
          <w:rFonts w:ascii="Arial" w:hAnsi="Arial" w:cs="Arial"/>
          <w:sz w:val="22"/>
          <w:szCs w:val="22"/>
        </w:rPr>
        <w:t xml:space="preserve">the </w:t>
      </w:r>
      <w:r w:rsidRPr="002724FB">
        <w:rPr>
          <w:rFonts w:ascii="Arial" w:hAnsi="Arial" w:cs="Arial"/>
          <w:sz w:val="22"/>
          <w:szCs w:val="22"/>
        </w:rPr>
        <w:t xml:space="preserve">monetary </w:t>
      </w:r>
      <w:r w:rsidR="00BD278A">
        <w:rPr>
          <w:rFonts w:ascii="Arial" w:hAnsi="Arial" w:cs="Arial"/>
          <w:sz w:val="22"/>
          <w:szCs w:val="22"/>
        </w:rPr>
        <w:t xml:space="preserve">limits </w:t>
      </w:r>
      <w:r w:rsidRPr="002724FB">
        <w:rPr>
          <w:rFonts w:ascii="Arial" w:hAnsi="Arial" w:cs="Arial"/>
          <w:sz w:val="22"/>
          <w:szCs w:val="22"/>
        </w:rPr>
        <w:t xml:space="preserve">for </w:t>
      </w:r>
      <w:r w:rsidR="00BD278A">
        <w:rPr>
          <w:rFonts w:ascii="Arial" w:hAnsi="Arial" w:cs="Arial"/>
          <w:sz w:val="22"/>
          <w:szCs w:val="22"/>
        </w:rPr>
        <w:t xml:space="preserve">the </w:t>
      </w:r>
      <w:r w:rsidRPr="002724FB">
        <w:rPr>
          <w:rFonts w:ascii="Arial" w:hAnsi="Arial" w:cs="Arial"/>
          <w:sz w:val="22"/>
          <w:szCs w:val="22"/>
        </w:rPr>
        <w:t xml:space="preserve">civil </w:t>
      </w:r>
      <w:r w:rsidR="00BD278A">
        <w:rPr>
          <w:rFonts w:ascii="Arial" w:hAnsi="Arial" w:cs="Arial"/>
          <w:sz w:val="22"/>
          <w:szCs w:val="22"/>
        </w:rPr>
        <w:t xml:space="preserve">jurisdiction of </w:t>
      </w:r>
      <w:r w:rsidRPr="002724FB">
        <w:rPr>
          <w:rFonts w:ascii="Arial" w:hAnsi="Arial" w:cs="Arial"/>
          <w:sz w:val="22"/>
          <w:szCs w:val="22"/>
        </w:rPr>
        <w:t>the District Court and Magistrates Co</w:t>
      </w:r>
      <w:r w:rsidR="00CC4056">
        <w:rPr>
          <w:rFonts w:ascii="Arial" w:hAnsi="Arial" w:cs="Arial"/>
          <w:sz w:val="22"/>
          <w:szCs w:val="22"/>
        </w:rPr>
        <w:t>urts</w:t>
      </w:r>
      <w:r w:rsidRPr="002724FB">
        <w:rPr>
          <w:rFonts w:ascii="Arial" w:hAnsi="Arial" w:cs="Arial"/>
          <w:sz w:val="22"/>
          <w:szCs w:val="22"/>
        </w:rPr>
        <w:t>.</w:t>
      </w:r>
    </w:p>
    <w:p w:rsid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E31D90">
        <w:rPr>
          <w:rFonts w:ascii="Arial" w:hAnsi="Arial" w:cs="Arial"/>
          <w:sz w:val="22"/>
          <w:szCs w:val="22"/>
          <w:u w:val="single"/>
        </w:rPr>
        <w:t>approved</w:t>
      </w:r>
      <w:r w:rsidR="00E31D90" w:rsidRPr="002A726D">
        <w:rPr>
          <w:rFonts w:ascii="Arial" w:hAnsi="Arial" w:cs="Arial"/>
          <w:sz w:val="22"/>
          <w:szCs w:val="22"/>
        </w:rPr>
        <w:t xml:space="preserve"> </w:t>
      </w:r>
      <w:r w:rsidRPr="00746136">
        <w:rPr>
          <w:rFonts w:ascii="Arial" w:hAnsi="Arial" w:cs="Arial"/>
          <w:sz w:val="22"/>
          <w:szCs w:val="22"/>
        </w:rPr>
        <w:t>the</w:t>
      </w:r>
      <w:r w:rsidR="00E31D90">
        <w:rPr>
          <w:rFonts w:ascii="Arial" w:hAnsi="Arial" w:cs="Arial"/>
          <w:sz w:val="22"/>
          <w:szCs w:val="22"/>
        </w:rPr>
        <w:t xml:space="preserve"> </w:t>
      </w:r>
      <w:r w:rsidR="002724FB">
        <w:rPr>
          <w:rFonts w:ascii="Arial" w:hAnsi="Arial" w:cs="Arial"/>
          <w:sz w:val="22"/>
          <w:szCs w:val="22"/>
        </w:rPr>
        <w:t xml:space="preserve">tabling of </w:t>
      </w:r>
      <w:r w:rsidR="000F466E">
        <w:rPr>
          <w:rFonts w:ascii="Arial" w:hAnsi="Arial" w:cs="Arial"/>
          <w:sz w:val="22"/>
          <w:szCs w:val="22"/>
        </w:rPr>
        <w:t>the</w:t>
      </w:r>
      <w:r w:rsidR="00662C92">
        <w:rPr>
          <w:rFonts w:ascii="Arial" w:hAnsi="Arial" w:cs="Arial"/>
          <w:sz w:val="22"/>
          <w:szCs w:val="22"/>
        </w:rPr>
        <w:t xml:space="preserve"> Consultation Draft </w:t>
      </w:r>
      <w:r w:rsidR="002724FB">
        <w:rPr>
          <w:rFonts w:ascii="Arial" w:hAnsi="Arial" w:cs="Arial"/>
          <w:sz w:val="22"/>
          <w:szCs w:val="22"/>
        </w:rPr>
        <w:t xml:space="preserve">Bill in the Legislative Assembly. </w:t>
      </w:r>
    </w:p>
    <w:p w:rsidR="00746136" w:rsidRPr="00746136" w:rsidRDefault="00746136" w:rsidP="004E2E49">
      <w:pPr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62C92" w:rsidRDefault="00FA24DA" w:rsidP="00B74129">
      <w:pPr>
        <w:widowControl w:val="0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hyperlink r:id="rId7" w:history="1">
        <w:r w:rsidR="00CC4056" w:rsidRPr="00DA0B71">
          <w:rPr>
            <w:rStyle w:val="Hyperlink"/>
            <w:rFonts w:ascii="Arial" w:hAnsi="Arial" w:cs="Arial"/>
            <w:sz w:val="22"/>
            <w:szCs w:val="22"/>
          </w:rPr>
          <w:t xml:space="preserve">Consultation Draft - </w:t>
        </w:r>
        <w:r w:rsidR="00662C92" w:rsidRPr="00DA0B71">
          <w:rPr>
            <w:rStyle w:val="Hyperlink"/>
            <w:rFonts w:ascii="Arial" w:hAnsi="Arial" w:cs="Arial"/>
            <w:sz w:val="22"/>
            <w:szCs w:val="22"/>
          </w:rPr>
          <w:t>Civil and Criminal Jurisdiction</w:t>
        </w:r>
        <w:r w:rsidR="00082075" w:rsidRPr="00DA0B71">
          <w:rPr>
            <w:rStyle w:val="Hyperlink"/>
            <w:rFonts w:ascii="Arial" w:hAnsi="Arial" w:cs="Arial"/>
            <w:sz w:val="22"/>
            <w:szCs w:val="22"/>
          </w:rPr>
          <w:t xml:space="preserve"> Reform and Modernisation </w:t>
        </w:r>
        <w:r w:rsidR="00662C92" w:rsidRPr="00DA0B71">
          <w:rPr>
            <w:rStyle w:val="Hyperlink"/>
            <w:rFonts w:ascii="Arial" w:hAnsi="Arial" w:cs="Arial"/>
            <w:sz w:val="22"/>
            <w:szCs w:val="22"/>
          </w:rPr>
          <w:t>Amendment Bill 2009</w:t>
        </w:r>
      </w:hyperlink>
    </w:p>
    <w:p w:rsidR="00D36B91" w:rsidRPr="004E2E49" w:rsidRDefault="00FA24DA" w:rsidP="004E2E49">
      <w:pPr>
        <w:widowControl w:val="0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hyperlink r:id="rId8" w:history="1">
        <w:r w:rsidR="000F466E" w:rsidRPr="00DA0B71">
          <w:rPr>
            <w:rStyle w:val="Hyperlink"/>
            <w:rFonts w:ascii="Arial" w:hAnsi="Arial" w:cs="Arial"/>
            <w:sz w:val="22"/>
            <w:szCs w:val="22"/>
          </w:rPr>
          <w:t xml:space="preserve">Consultation Draft - </w:t>
        </w:r>
        <w:r w:rsidR="00662C92" w:rsidRPr="00DA0B71">
          <w:rPr>
            <w:rStyle w:val="Hyperlink"/>
            <w:rFonts w:ascii="Arial" w:hAnsi="Arial" w:cs="Arial"/>
            <w:sz w:val="22"/>
            <w:szCs w:val="22"/>
          </w:rPr>
          <w:t>Explanatory Notes.</w:t>
        </w:r>
      </w:hyperlink>
      <w:r w:rsidR="00662C92" w:rsidRPr="002724FB">
        <w:rPr>
          <w:rFonts w:ascii="Arial" w:hAnsi="Arial" w:cs="Arial"/>
          <w:sz w:val="22"/>
          <w:szCs w:val="22"/>
        </w:rPr>
        <w:t xml:space="preserve"> </w:t>
      </w:r>
    </w:p>
    <w:sectPr w:rsidR="00D36B91" w:rsidRPr="004E2E49" w:rsidSect="00A664F1">
      <w:headerReference w:type="default" r:id="rId9"/>
      <w:footerReference w:type="default" r:id="rId10"/>
      <w:pgSz w:w="11907" w:h="16840" w:code="9"/>
      <w:pgMar w:top="1134" w:right="1134" w:bottom="851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51" w:rsidRDefault="00CB1B51">
      <w:r>
        <w:separator/>
      </w:r>
    </w:p>
  </w:endnote>
  <w:endnote w:type="continuationSeparator" w:id="0">
    <w:p w:rsidR="00CB1B51" w:rsidRDefault="00CB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6E" w:rsidRPr="001141E1" w:rsidRDefault="000F466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51" w:rsidRDefault="00CB1B51">
      <w:r>
        <w:separator/>
      </w:r>
    </w:p>
  </w:footnote>
  <w:footnote w:type="continuationSeparator" w:id="0">
    <w:p w:rsidR="00CB1B51" w:rsidRDefault="00CB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6E" w:rsidRPr="000400F9" w:rsidRDefault="00C11BAB" w:rsidP="008044F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66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F466E">
      <w:rPr>
        <w:rFonts w:ascii="Arial" w:hAnsi="Arial" w:cs="Arial"/>
        <w:b/>
        <w:sz w:val="22"/>
        <w:szCs w:val="22"/>
        <w:u w:val="single"/>
      </w:rPr>
      <w:t>November 2009</w:t>
    </w:r>
  </w:p>
  <w:p w:rsidR="000F466E" w:rsidRDefault="000F466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Consultation Draft - Civil and Criminal Jurisdiction Reform and Modernisation Amendment Bill 2009</w:t>
    </w:r>
  </w:p>
  <w:p w:rsidR="000F466E" w:rsidRDefault="000F466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0F466E" w:rsidRPr="000400F9" w:rsidRDefault="000F466E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66FC"/>
    <w:multiLevelType w:val="hybridMultilevel"/>
    <w:tmpl w:val="50EE34EE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A129A"/>
    <w:multiLevelType w:val="hybridMultilevel"/>
    <w:tmpl w:val="AD58942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C6F"/>
    <w:multiLevelType w:val="hybridMultilevel"/>
    <w:tmpl w:val="20D628E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D36B9"/>
    <w:multiLevelType w:val="hybridMultilevel"/>
    <w:tmpl w:val="BBF06002"/>
    <w:lvl w:ilvl="0" w:tplc="B7A0238C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D552B"/>
    <w:multiLevelType w:val="hybridMultilevel"/>
    <w:tmpl w:val="1DACC3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8"/>
  </w:num>
  <w:num w:numId="7">
    <w:abstractNumId w:val="17"/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400F9"/>
    <w:rsid w:val="000556BC"/>
    <w:rsid w:val="00082075"/>
    <w:rsid w:val="00095C83"/>
    <w:rsid w:val="000A0E11"/>
    <w:rsid w:val="000B545C"/>
    <w:rsid w:val="000E471C"/>
    <w:rsid w:val="000F466E"/>
    <w:rsid w:val="001141E1"/>
    <w:rsid w:val="00133013"/>
    <w:rsid w:val="00133A34"/>
    <w:rsid w:val="001423B9"/>
    <w:rsid w:val="00160524"/>
    <w:rsid w:val="0018369D"/>
    <w:rsid w:val="001D1DAB"/>
    <w:rsid w:val="001F436F"/>
    <w:rsid w:val="00254E35"/>
    <w:rsid w:val="002724FB"/>
    <w:rsid w:val="0028053C"/>
    <w:rsid w:val="002A726D"/>
    <w:rsid w:val="002E365F"/>
    <w:rsid w:val="002E5822"/>
    <w:rsid w:val="002F57E4"/>
    <w:rsid w:val="0032048B"/>
    <w:rsid w:val="00346156"/>
    <w:rsid w:val="0036697E"/>
    <w:rsid w:val="00382380"/>
    <w:rsid w:val="003939CB"/>
    <w:rsid w:val="003A269C"/>
    <w:rsid w:val="003B0820"/>
    <w:rsid w:val="003C3732"/>
    <w:rsid w:val="00402FFB"/>
    <w:rsid w:val="00435BE5"/>
    <w:rsid w:val="00470276"/>
    <w:rsid w:val="0048019C"/>
    <w:rsid w:val="00486A99"/>
    <w:rsid w:val="00497CB6"/>
    <w:rsid w:val="004E2E49"/>
    <w:rsid w:val="004E6C38"/>
    <w:rsid w:val="00503CF9"/>
    <w:rsid w:val="00537BF7"/>
    <w:rsid w:val="0056401D"/>
    <w:rsid w:val="0058151B"/>
    <w:rsid w:val="005B1D9B"/>
    <w:rsid w:val="006100CC"/>
    <w:rsid w:val="00636FBD"/>
    <w:rsid w:val="00644076"/>
    <w:rsid w:val="00662C92"/>
    <w:rsid w:val="006631CF"/>
    <w:rsid w:val="006B3B54"/>
    <w:rsid w:val="006B44BE"/>
    <w:rsid w:val="006D0869"/>
    <w:rsid w:val="006E6713"/>
    <w:rsid w:val="006F5B3E"/>
    <w:rsid w:val="007060D7"/>
    <w:rsid w:val="00726F36"/>
    <w:rsid w:val="00746136"/>
    <w:rsid w:val="00780728"/>
    <w:rsid w:val="00794778"/>
    <w:rsid w:val="007A25F4"/>
    <w:rsid w:val="007F52D6"/>
    <w:rsid w:val="007F582D"/>
    <w:rsid w:val="008044F5"/>
    <w:rsid w:val="0082040E"/>
    <w:rsid w:val="00845D3E"/>
    <w:rsid w:val="00851B00"/>
    <w:rsid w:val="008A5F1B"/>
    <w:rsid w:val="008B7E17"/>
    <w:rsid w:val="008F44CD"/>
    <w:rsid w:val="00903087"/>
    <w:rsid w:val="00922A5B"/>
    <w:rsid w:val="00950914"/>
    <w:rsid w:val="00963BD9"/>
    <w:rsid w:val="009D0C12"/>
    <w:rsid w:val="009D2711"/>
    <w:rsid w:val="009D3AF4"/>
    <w:rsid w:val="009F3BD4"/>
    <w:rsid w:val="009F5476"/>
    <w:rsid w:val="00A20C0E"/>
    <w:rsid w:val="00A64FD2"/>
    <w:rsid w:val="00A664F1"/>
    <w:rsid w:val="00A80ED5"/>
    <w:rsid w:val="00AA128C"/>
    <w:rsid w:val="00AB6637"/>
    <w:rsid w:val="00AD39C2"/>
    <w:rsid w:val="00AE1995"/>
    <w:rsid w:val="00B40BDF"/>
    <w:rsid w:val="00B45D8B"/>
    <w:rsid w:val="00B531C0"/>
    <w:rsid w:val="00B602F2"/>
    <w:rsid w:val="00B74129"/>
    <w:rsid w:val="00B80C5D"/>
    <w:rsid w:val="00BA3374"/>
    <w:rsid w:val="00BD278A"/>
    <w:rsid w:val="00C07656"/>
    <w:rsid w:val="00C10F15"/>
    <w:rsid w:val="00C11BAB"/>
    <w:rsid w:val="00C214FA"/>
    <w:rsid w:val="00C37FE4"/>
    <w:rsid w:val="00C4265A"/>
    <w:rsid w:val="00C85B71"/>
    <w:rsid w:val="00C9559E"/>
    <w:rsid w:val="00CB1B51"/>
    <w:rsid w:val="00CC0A98"/>
    <w:rsid w:val="00CC4056"/>
    <w:rsid w:val="00CC7BD1"/>
    <w:rsid w:val="00CE6FBA"/>
    <w:rsid w:val="00D17B66"/>
    <w:rsid w:val="00D20D3C"/>
    <w:rsid w:val="00D3188E"/>
    <w:rsid w:val="00D34179"/>
    <w:rsid w:val="00D36B91"/>
    <w:rsid w:val="00D52CEB"/>
    <w:rsid w:val="00D743A7"/>
    <w:rsid w:val="00D743C9"/>
    <w:rsid w:val="00DA0B71"/>
    <w:rsid w:val="00DD3CD5"/>
    <w:rsid w:val="00DD497C"/>
    <w:rsid w:val="00E13396"/>
    <w:rsid w:val="00E31D90"/>
    <w:rsid w:val="00E463C2"/>
    <w:rsid w:val="00E81248"/>
    <w:rsid w:val="00EA00BF"/>
    <w:rsid w:val="00EB3723"/>
    <w:rsid w:val="00EB3DF9"/>
    <w:rsid w:val="00F04D30"/>
    <w:rsid w:val="00F145D4"/>
    <w:rsid w:val="00F21477"/>
    <w:rsid w:val="00F22655"/>
    <w:rsid w:val="00F5542A"/>
    <w:rsid w:val="00F61FAF"/>
    <w:rsid w:val="00F70981"/>
    <w:rsid w:val="00F756F8"/>
    <w:rsid w:val="00FA225C"/>
    <w:rsid w:val="00FA24DA"/>
    <w:rsid w:val="00FC1594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34179"/>
    <w:rPr>
      <w:color w:val="0000FF"/>
      <w:u w:val="single"/>
    </w:rPr>
  </w:style>
  <w:style w:type="character" w:styleId="FollowedHyperlink">
    <w:name w:val="FollowedHyperlink"/>
    <w:basedOn w:val="DefaultParagraphFont"/>
    <w:rsid w:val="00D52CE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Draft%20Explanatory%20Notes%20fin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onsultation%20draft%20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1372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1619</CharactersWithSpaces>
  <SharedDoc>false</SharedDoc>
  <HyperlinkBase>https://www.cabinet.qld.gov.au/documents/2009/Nov/Civil and Criminal Jurisdiction Reform MAB 2009/</HyperlinkBase>
  <HLinks>
    <vt:vector size="12" baseType="variant"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Attachments/Draft Explanatory Notes final.doc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Attachments/Consultation draft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civil,criminal,reform,modernisation</cp:keywords>
  <dc:description/>
  <cp:lastModifiedBy/>
  <cp:revision>2</cp:revision>
  <cp:lastPrinted>2010-04-20T06:14:00Z</cp:lastPrinted>
  <dcterms:created xsi:type="dcterms:W3CDTF">2017-10-24T22:02:00Z</dcterms:created>
  <dcterms:modified xsi:type="dcterms:W3CDTF">2018-03-06T00:58:00Z</dcterms:modified>
  <cp:category>Legislation,justice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343337676</vt:i4>
  </property>
  <property fmtid="{D5CDD505-2E9C-101B-9397-08002B2CF9AE}" pid="4" name="_PreviousAdHocReviewCycleID">
    <vt:i4>-2132757939</vt:i4>
  </property>
  <property fmtid="{D5CDD505-2E9C-101B-9397-08002B2CF9AE}" pid="5" name="_ReviewingToolsShownOnce">
    <vt:lpwstr/>
  </property>
</Properties>
</file>